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DC82" w14:textId="10ED8AAD" w:rsidR="005A5225" w:rsidRPr="005A5225" w:rsidRDefault="005A5225">
      <w:pPr>
        <w:rPr>
          <w:rFonts w:ascii="Garamond" w:hAnsi="Garamond"/>
          <w:b/>
          <w:bCs/>
        </w:rPr>
      </w:pPr>
      <w:r w:rsidRPr="005A5225">
        <w:rPr>
          <w:rFonts w:ascii="Garamond" w:hAnsi="Garamond"/>
          <w:b/>
          <w:bCs/>
        </w:rPr>
        <w:t>Schema prima lezione</w:t>
      </w:r>
    </w:p>
    <w:p w14:paraId="03EDD9EE" w14:textId="56CE4174" w:rsidR="005A5225" w:rsidRDefault="005A5225"/>
    <w:p w14:paraId="5915E3B4" w14:textId="77777777" w:rsidR="005A5225" w:rsidRPr="006E44A0" w:rsidRDefault="005A5225" w:rsidP="005A5225">
      <w:pPr>
        <w:shd w:val="clear" w:color="auto" w:fill="FFFFFF"/>
        <w:jc w:val="both"/>
        <w:outlineLvl w:val="2"/>
        <w:rPr>
          <w:rFonts w:ascii="Garamond" w:eastAsia="Times New Roman" w:hAnsi="Garamond" w:cs="Open Sans"/>
          <w:b/>
          <w:bCs/>
          <w:i/>
          <w:iCs/>
          <w:color w:val="000000" w:themeColor="text1"/>
          <w:sz w:val="28"/>
          <w:szCs w:val="28"/>
          <w:lang w:eastAsia="it-IT"/>
        </w:rPr>
      </w:pPr>
      <w:r w:rsidRPr="006E44A0">
        <w:rPr>
          <w:rFonts w:ascii="Garamond" w:eastAsia="Times New Roman" w:hAnsi="Garamond" w:cs="Open Sans"/>
          <w:b/>
          <w:bCs/>
          <w:i/>
          <w:iCs/>
          <w:color w:val="000000" w:themeColor="text1"/>
          <w:sz w:val="28"/>
          <w:szCs w:val="28"/>
          <w:lang w:eastAsia="it-IT"/>
        </w:rPr>
        <w:t>Il popolo messianico in cammino nella storia: percorsi, strumenti e orizzonti per una teologia fondamentale oggi</w:t>
      </w:r>
      <w:r w:rsidRPr="008F06E6">
        <w:rPr>
          <w:rFonts w:ascii="Garamond" w:eastAsia="Times New Roman" w:hAnsi="Garamond" w:cs="Open Sans"/>
          <w:b/>
          <w:bCs/>
          <w:i/>
          <w:iCs/>
          <w:color w:val="000000" w:themeColor="text1"/>
          <w:sz w:val="28"/>
          <w:szCs w:val="28"/>
          <w:lang w:eastAsia="it-IT"/>
        </w:rPr>
        <w:t>/qui</w:t>
      </w:r>
    </w:p>
    <w:p w14:paraId="37CD5D7D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5C8849DE" w14:textId="77777777" w:rsidR="005A5225" w:rsidRPr="008F06E6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8F06E6">
        <w:rPr>
          <w:rFonts w:ascii="Garamond" w:hAnsi="Garamond"/>
          <w:b/>
          <w:bCs/>
          <w:color w:val="000000" w:themeColor="text1"/>
          <w:sz w:val="28"/>
          <w:szCs w:val="28"/>
        </w:rPr>
        <w:t>Introduzione</w:t>
      </w:r>
    </w:p>
    <w:p w14:paraId="7386B218" w14:textId="77777777" w:rsidR="005A5225" w:rsidRDefault="005A5225" w:rsidP="005A5225">
      <w:pPr>
        <w:shd w:val="clear" w:color="auto" w:fill="FFFFFF"/>
        <w:jc w:val="both"/>
        <w:outlineLvl w:val="2"/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</w:pPr>
    </w:p>
    <w:p w14:paraId="116B4ADE" w14:textId="6F3F0E0B" w:rsidR="005A5225" w:rsidRPr="006E44A0" w:rsidRDefault="005A5225" w:rsidP="005A5225">
      <w:pPr>
        <w:shd w:val="clear" w:color="auto" w:fill="FFFFFF"/>
        <w:jc w:val="both"/>
        <w:outlineLvl w:val="2"/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</w:pPr>
      <w:r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  <w:t xml:space="preserve">Un testo </w:t>
      </w:r>
      <w:r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  <w:t>per la riflessione iniziale</w:t>
      </w:r>
      <w:r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  <w:t xml:space="preserve"> At 17, 22 – 18, 1 / commento di D. </w:t>
      </w:r>
      <w:proofErr w:type="spellStart"/>
      <w:r>
        <w:rPr>
          <w:rFonts w:ascii="Garamond" w:eastAsia="Times New Roman" w:hAnsi="Garamond" w:cs="Open Sans"/>
          <w:color w:val="000000" w:themeColor="text1"/>
          <w:sz w:val="28"/>
          <w:szCs w:val="28"/>
          <w:lang w:eastAsia="it-IT"/>
        </w:rPr>
        <w:t>Marguerat</w:t>
      </w:r>
      <w:proofErr w:type="spellEnd"/>
    </w:p>
    <w:p w14:paraId="5C23DBC5" w14:textId="6EB6A448" w:rsidR="005A5225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6FC957C3" w14:textId="666568C7" w:rsidR="005A5225" w:rsidRPr="005A5225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Elementi di orizzonte</w:t>
      </w:r>
    </w:p>
    <w:p w14:paraId="7B34E4C0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66B30C73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la TF una disciplina con tre prospettive (Che cosa? Perché? Come?): a) Che cos’è la tradizione – Agostino e Ireneo - cristiana? Qual è l’essenza del cristianesimo? b) perché credere a tale tradizione? Qual è la sua credibilità? c) Come entrare, capire e orientarsi nella tradizione cristiana? Qual è l’epistemologia di questa Tradizione, quali sono i </w:t>
      </w:r>
      <w:r w:rsidRPr="008F06E6">
        <w:rPr>
          <w:rFonts w:ascii="Garamond" w:hAnsi="Garamond"/>
          <w:i/>
          <w:iCs/>
          <w:color w:val="000000" w:themeColor="text1"/>
          <w:sz w:val="28"/>
          <w:szCs w:val="28"/>
        </w:rPr>
        <w:t>luoghi teologici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? </w:t>
      </w:r>
    </w:p>
    <w:p w14:paraId="7DF18997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363862B0" w14:textId="6BE5ECB4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una nostra descrizione della TF: argomentare </w:t>
      </w:r>
      <w:r>
        <w:rPr>
          <w:rFonts w:ascii="Garamond" w:hAnsi="Garamond"/>
          <w:color w:val="000000" w:themeColor="text1"/>
          <w:sz w:val="28"/>
          <w:szCs w:val="28"/>
        </w:rPr>
        <w:t xml:space="preserve">(1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Pt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 3, 13-16 e Col 4, 2-6) 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come popolo messianico la pretesa di verità della rivelazione cristiana come ‘assoluto’ nella ‘storia’ in risposta alle domande/sfide del </w:t>
      </w:r>
      <w:r>
        <w:rPr>
          <w:rFonts w:ascii="Garamond" w:hAnsi="Garamond"/>
          <w:color w:val="000000" w:themeColor="text1"/>
          <w:sz w:val="28"/>
          <w:szCs w:val="28"/>
        </w:rPr>
        <w:t xml:space="preserve">nostro </w:t>
      </w:r>
      <w:r w:rsidRPr="008F06E6">
        <w:rPr>
          <w:rFonts w:ascii="Garamond" w:hAnsi="Garamond"/>
          <w:color w:val="000000" w:themeColor="text1"/>
          <w:sz w:val="28"/>
          <w:szCs w:val="28"/>
        </w:rPr>
        <w:t>tempo</w:t>
      </w:r>
    </w:p>
    <w:p w14:paraId="2C2EC518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194BE451" w14:textId="4E1C76DB" w:rsidR="005A5225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8F06E6">
        <w:rPr>
          <w:rFonts w:ascii="Garamond" w:hAnsi="Garamond"/>
          <w:color w:val="000000" w:themeColor="text1"/>
          <w:sz w:val="28"/>
          <w:szCs w:val="28"/>
        </w:rPr>
        <w:t>quale metodo teologico</w:t>
      </w:r>
      <w:r>
        <w:rPr>
          <w:rFonts w:ascii="Garamond" w:hAnsi="Garamond"/>
          <w:color w:val="000000" w:themeColor="text1"/>
          <w:sz w:val="28"/>
          <w:szCs w:val="28"/>
        </w:rPr>
        <w:t xml:space="preserve"> usiamo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</w:t>
      </w:r>
      <w:r>
        <w:rPr>
          <w:rFonts w:ascii="Garamond" w:hAnsi="Garamond"/>
          <w:color w:val="000000" w:themeColor="text1"/>
          <w:sz w:val="28"/>
          <w:szCs w:val="28"/>
        </w:rPr>
        <w:t xml:space="preserve">tre criteri: </w:t>
      </w:r>
      <w:r w:rsidRPr="008F06E6">
        <w:rPr>
          <w:rFonts w:ascii="Garamond" w:hAnsi="Garamond"/>
          <w:color w:val="000000" w:themeColor="text1"/>
          <w:sz w:val="28"/>
          <w:szCs w:val="28"/>
        </w:rPr>
        <w:t>in ascolto della tradizione e del tempo</w:t>
      </w:r>
      <w:r>
        <w:rPr>
          <w:rFonts w:ascii="Garamond" w:hAnsi="Garamond"/>
          <w:color w:val="000000" w:themeColor="text1"/>
          <w:sz w:val="28"/>
          <w:szCs w:val="28"/>
        </w:rPr>
        <w:t xml:space="preserve"> e in una riflessione attenta sulla dimensione esistenziale del teologo e della comunità teologica 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(B.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Lonergan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>)</w:t>
      </w:r>
    </w:p>
    <w:p w14:paraId="0F82AC8E" w14:textId="77777777" w:rsidR="005A5225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23226EBF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quale antropologia del teologo: in lotta - nello Spirito, nella prassi, nella riflessione - contro la coscienza ingenua</w:t>
      </w:r>
      <w:r>
        <w:rPr>
          <w:rStyle w:val="Rimandonotaapidipagina"/>
          <w:rFonts w:ascii="Garamond" w:hAnsi="Garamond"/>
          <w:color w:val="000000" w:themeColor="text1"/>
          <w:sz w:val="28"/>
          <w:szCs w:val="28"/>
        </w:rPr>
        <w:footnoteReference w:id="1"/>
      </w:r>
      <w:r>
        <w:rPr>
          <w:rFonts w:ascii="Garamond" w:hAnsi="Garamond"/>
          <w:color w:val="000000" w:themeColor="text1"/>
          <w:sz w:val="28"/>
          <w:szCs w:val="28"/>
        </w:rPr>
        <w:t xml:space="preserve"> (P.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Freire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>)</w:t>
      </w:r>
    </w:p>
    <w:p w14:paraId="7AFF60D6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3232EE93" w14:textId="12228618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8F06E6">
        <w:rPr>
          <w:rFonts w:ascii="Garamond" w:hAnsi="Garamond"/>
          <w:color w:val="000000" w:themeColor="text1"/>
          <w:sz w:val="28"/>
          <w:szCs w:val="28"/>
        </w:rPr>
        <w:t>quale orizzonte contenutistico</w:t>
      </w:r>
      <w:r>
        <w:rPr>
          <w:rFonts w:ascii="Garamond" w:hAnsi="Garamond"/>
          <w:color w:val="000000" w:themeColor="text1"/>
          <w:sz w:val="28"/>
          <w:szCs w:val="28"/>
        </w:rPr>
        <w:t xml:space="preserve"> assumiamo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la nuova fase di ricezione del Vaticano II del tempo di papa Francesco (G.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Lafont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>)</w:t>
      </w:r>
      <w:r>
        <w:rPr>
          <w:rFonts w:ascii="Garamond" w:hAnsi="Garamond"/>
          <w:color w:val="000000" w:themeColor="text1"/>
          <w:sz w:val="28"/>
          <w:szCs w:val="28"/>
        </w:rPr>
        <w:t>: “il concilio Vaticano II, che prendiamo sul serio come ultima istanza cronistorica normativa, ma che dobbiamo rileggere nel nostro contesto attuale e interrogare sul suo potenziale di futuro” (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Theobald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>)</w:t>
      </w:r>
    </w:p>
    <w:p w14:paraId="03E8E65F" w14:textId="77777777" w:rsidR="005A5225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2A88E3EE" w14:textId="11CC51A9" w:rsidR="005A5225" w:rsidRPr="005A5225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</w:rPr>
        <w:t>Q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uestioni specifiche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(dall’orizzonte alla figura)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:</w:t>
      </w:r>
    </w:p>
    <w:p w14:paraId="734A6933" w14:textId="77777777" w:rsidR="005A5225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37A7508B" w14:textId="610AB83A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8F06E6">
        <w:rPr>
          <w:rFonts w:ascii="Garamond" w:hAnsi="Garamond"/>
          <w:color w:val="000000" w:themeColor="text1"/>
          <w:sz w:val="28"/>
          <w:szCs w:val="28"/>
        </w:rPr>
        <w:lastRenderedPageBreak/>
        <w:t>Oltre alle domande del tempo moderno (soggettività, tradizione, rappresentazioni del reale) emergono alcune questioni/crisi</w:t>
      </w:r>
      <w:r w:rsidRPr="008F06E6">
        <w:rPr>
          <w:rStyle w:val="Rimandonotaapidipagina"/>
          <w:rFonts w:ascii="Garamond" w:hAnsi="Garamond"/>
          <w:color w:val="000000" w:themeColor="text1"/>
          <w:sz w:val="28"/>
          <w:szCs w:val="28"/>
        </w:rPr>
        <w:footnoteReference w:id="2"/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specifiche del nostro contesto:</w:t>
      </w:r>
    </w:p>
    <w:p w14:paraId="28C9BFFC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5ED6F811" w14:textId="08B2CB75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>Una ridefinizione delle mappe (secolarizzazione</w:t>
      </w:r>
      <w:r>
        <w:rPr>
          <w:rFonts w:ascii="Garamond" w:hAnsi="Garamond"/>
          <w:color w:val="000000" w:themeColor="text1"/>
          <w:sz w:val="28"/>
          <w:szCs w:val="28"/>
        </w:rPr>
        <w:t xml:space="preserve"> [ricordiamo qui la tesi di Casanova: differenziazione della struttura interna, erosione delle convinzioni religiose, privatizzazione delle convinzioni religiose]</w:t>
      </w:r>
      <w:r w:rsidRPr="008F06E6">
        <w:rPr>
          <w:rFonts w:ascii="Garamond" w:hAnsi="Garamond"/>
          <w:color w:val="000000" w:themeColor="text1"/>
          <w:sz w:val="28"/>
          <w:szCs w:val="28"/>
        </w:rPr>
        <w:t>, post</w:t>
      </w:r>
      <w:r>
        <w:rPr>
          <w:rFonts w:ascii="Garamond" w:hAnsi="Garamond"/>
          <w:color w:val="000000" w:themeColor="text1"/>
          <w:sz w:val="28"/>
          <w:szCs w:val="28"/>
        </w:rPr>
        <w:t>-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secolare, antropologie, modelli di razionalità) dell’ultra-moderno (B. Han - P. Costa) </w:t>
      </w:r>
    </w:p>
    <w:p w14:paraId="77F795FD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704207BD" w14:textId="4E33F9C8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La crisi politica, democratica e sociale (G. Dossetti - P.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Ricoeur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- Lopes/Mancini) come crisi degli assetti moderni (P. Prodi - M. Neri)</w:t>
      </w:r>
    </w:p>
    <w:p w14:paraId="302FCF2E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352BD261" w14:textId="3B0242ED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La crisi ambientale come cifra della ‘crisi’ complessiva (B.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Latour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- L.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Boff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>)</w:t>
      </w:r>
    </w:p>
    <w:p w14:paraId="6D32B5B1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4D713B11" w14:textId="60CE4CB2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Il contesto mediterraneo ed europeo (C.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Theobald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- Tanzarella/Bongiovanni</w:t>
      </w:r>
      <w:r>
        <w:rPr>
          <w:rFonts w:ascii="Garamond" w:hAnsi="Garamond"/>
          <w:color w:val="000000" w:themeColor="text1"/>
          <w:sz w:val="28"/>
          <w:szCs w:val="28"/>
        </w:rPr>
        <w:t xml:space="preserve"> – P. de Simone – V.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Impellizzeri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>)</w:t>
      </w:r>
    </w:p>
    <w:p w14:paraId="0BF3C715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2229242F" w14:textId="65613742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>La Chiesa brucia (A. Riccardi)</w:t>
      </w:r>
      <w:r>
        <w:rPr>
          <w:rFonts w:ascii="Garamond" w:hAnsi="Garamond"/>
          <w:color w:val="000000" w:themeColor="text1"/>
          <w:sz w:val="28"/>
          <w:szCs w:val="28"/>
        </w:rPr>
        <w:t xml:space="preserve"> e l’appello per u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na </w:t>
      </w:r>
      <w:r>
        <w:rPr>
          <w:rFonts w:ascii="Garamond" w:hAnsi="Garamond"/>
          <w:color w:val="000000" w:themeColor="text1"/>
          <w:sz w:val="28"/>
          <w:szCs w:val="28"/>
        </w:rPr>
        <w:t xml:space="preserve">visione </w:t>
      </w:r>
      <w:r w:rsidRPr="008F06E6">
        <w:rPr>
          <w:rFonts w:ascii="Garamond" w:hAnsi="Garamond"/>
          <w:color w:val="000000" w:themeColor="text1"/>
          <w:sz w:val="28"/>
          <w:szCs w:val="28"/>
        </w:rPr>
        <w:t>pastorale differente (A. Matteo)</w:t>
      </w:r>
      <w:r>
        <w:rPr>
          <w:rFonts w:ascii="Garamond" w:hAnsi="Garamond"/>
          <w:color w:val="000000" w:themeColor="text1"/>
          <w:sz w:val="28"/>
          <w:szCs w:val="28"/>
        </w:rPr>
        <w:t xml:space="preserve"> in un cristianesimo in diaspora (</w:t>
      </w:r>
      <w:r>
        <w:rPr>
          <w:rFonts w:ascii="Garamond" w:hAnsi="Garamond"/>
          <w:color w:val="000000" w:themeColor="text1"/>
          <w:sz w:val="28"/>
          <w:szCs w:val="28"/>
        </w:rPr>
        <w:t xml:space="preserve">K.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Rahner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 xml:space="preserve">) e nel ruolo di una minoranza cognitiva (D. </w:t>
      </w:r>
      <w:proofErr w:type="spellStart"/>
      <w:r>
        <w:rPr>
          <w:rFonts w:ascii="Garamond" w:hAnsi="Garamond"/>
          <w:color w:val="000000" w:themeColor="text1"/>
          <w:sz w:val="28"/>
          <w:szCs w:val="28"/>
        </w:rPr>
        <w:t>Hervieu-Leger</w:t>
      </w:r>
      <w:proofErr w:type="spellEnd"/>
      <w:r>
        <w:rPr>
          <w:rFonts w:ascii="Garamond" w:hAnsi="Garamond"/>
          <w:color w:val="000000" w:themeColor="text1"/>
          <w:sz w:val="28"/>
          <w:szCs w:val="28"/>
        </w:rPr>
        <w:t>) con una profonda crisi di credibilità della fede</w:t>
      </w:r>
    </w:p>
    <w:p w14:paraId="1F5DD15A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6D353EF6" w14:textId="5D91BCB6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>*</w:t>
      </w:r>
      <w:r w:rsidRPr="008F06E6">
        <w:rPr>
          <w:rFonts w:ascii="Garamond" w:hAnsi="Garamond"/>
          <w:color w:val="000000" w:themeColor="text1"/>
          <w:sz w:val="28"/>
          <w:szCs w:val="28"/>
        </w:rPr>
        <w:t xml:space="preserve">La sfida del pluralismo religioso (J.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Dupuis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 xml:space="preserve"> &amp; al.) e del post-teismo (P. Gamberini - J. </w:t>
      </w:r>
      <w:proofErr w:type="spellStart"/>
      <w:r w:rsidRPr="008F06E6">
        <w:rPr>
          <w:rFonts w:ascii="Garamond" w:hAnsi="Garamond"/>
          <w:color w:val="000000" w:themeColor="text1"/>
          <w:sz w:val="28"/>
          <w:szCs w:val="28"/>
        </w:rPr>
        <w:t>Spong</w:t>
      </w:r>
      <w:proofErr w:type="spellEnd"/>
      <w:r w:rsidRPr="008F06E6">
        <w:rPr>
          <w:rFonts w:ascii="Garamond" w:hAnsi="Garamond"/>
          <w:color w:val="000000" w:themeColor="text1"/>
          <w:sz w:val="28"/>
          <w:szCs w:val="28"/>
        </w:rPr>
        <w:t>)</w:t>
      </w:r>
    </w:p>
    <w:p w14:paraId="2EBD5855" w14:textId="77777777" w:rsidR="005A5225" w:rsidRPr="008F06E6" w:rsidRDefault="005A5225" w:rsidP="005A5225">
      <w:pPr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4963CA87" w14:textId="77777777" w:rsidR="005A5225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Domanda per lezione prossima: </w:t>
      </w:r>
    </w:p>
    <w:p w14:paraId="6210BD7A" w14:textId="77777777" w:rsidR="005A5225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</w:p>
    <w:p w14:paraId="30F27D30" w14:textId="018A1063" w:rsidR="005A5225" w:rsidRPr="005A5225" w:rsidRDefault="005A5225" w:rsidP="005A5225">
      <w:pPr>
        <w:jc w:val="both"/>
        <w:rPr>
          <w:rFonts w:ascii="Garamond" w:hAnsi="Garamond"/>
          <w:b/>
          <w:bCs/>
          <w:color w:val="000000" w:themeColor="text1"/>
          <w:sz w:val="28"/>
          <w:szCs w:val="28"/>
        </w:rPr>
      </w:pPr>
      <w:r>
        <w:rPr>
          <w:rFonts w:ascii="Garamond" w:hAnsi="Garamond"/>
          <w:b/>
          <w:bCs/>
          <w:color w:val="000000" w:themeColor="text1"/>
          <w:sz w:val="28"/>
          <w:szCs w:val="28"/>
        </w:rPr>
        <w:t>L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e sfide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e le questioni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: ve ne sono altre? 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>i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n altre parti del pianeta quali le questioni</w:t>
      </w:r>
      <w:r>
        <w:rPr>
          <w:rFonts w:ascii="Garamond" w:hAnsi="Garamond"/>
          <w:b/>
          <w:bCs/>
          <w:color w:val="000000" w:themeColor="text1"/>
          <w:sz w:val="28"/>
          <w:szCs w:val="28"/>
        </w:rPr>
        <w:t xml:space="preserve"> più rilevanti per la TF</w:t>
      </w:r>
      <w:r w:rsidRPr="005A5225">
        <w:rPr>
          <w:rFonts w:ascii="Garamond" w:hAnsi="Garamond"/>
          <w:b/>
          <w:bCs/>
          <w:color w:val="000000" w:themeColor="text1"/>
          <w:sz w:val="28"/>
          <w:szCs w:val="28"/>
        </w:rPr>
        <w:t>?</w:t>
      </w:r>
    </w:p>
    <w:p w14:paraId="41B1E1CD" w14:textId="77777777" w:rsidR="005A5225" w:rsidRDefault="005A5225"/>
    <w:sectPr w:rsidR="005A5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810E" w14:textId="77777777" w:rsidR="00D04603" w:rsidRDefault="00D04603" w:rsidP="005A5225">
      <w:r>
        <w:separator/>
      </w:r>
    </w:p>
  </w:endnote>
  <w:endnote w:type="continuationSeparator" w:id="0">
    <w:p w14:paraId="4CE47837" w14:textId="77777777" w:rsidR="00D04603" w:rsidRDefault="00D04603" w:rsidP="005A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BF58E" w14:textId="77777777" w:rsidR="00D04603" w:rsidRDefault="00D04603" w:rsidP="005A5225">
      <w:r>
        <w:separator/>
      </w:r>
    </w:p>
  </w:footnote>
  <w:footnote w:type="continuationSeparator" w:id="0">
    <w:p w14:paraId="43623373" w14:textId="77777777" w:rsidR="00D04603" w:rsidRDefault="00D04603" w:rsidP="005A5225">
      <w:r>
        <w:continuationSeparator/>
      </w:r>
    </w:p>
  </w:footnote>
  <w:footnote w:id="1">
    <w:p w14:paraId="61B958C7" w14:textId="1DB9BBC5" w:rsidR="005A5225" w:rsidRPr="00DE17CD" w:rsidRDefault="005A5225" w:rsidP="005A5225">
      <w:pPr>
        <w:pStyle w:val="NormaleWeb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DE17CD">
        <w:rPr>
          <w:rStyle w:val="Rimandonotaapidipagina"/>
          <w:rFonts w:ascii="Garamond" w:hAnsi="Garamond"/>
          <w:sz w:val="22"/>
          <w:szCs w:val="22"/>
        </w:rPr>
        <w:footnoteRef/>
      </w:r>
      <w:r w:rsidRPr="00DE17CD">
        <w:rPr>
          <w:rFonts w:ascii="Garamond" w:hAnsi="Garamond"/>
          <w:sz w:val="22"/>
          <w:szCs w:val="22"/>
        </w:rPr>
        <w:t xml:space="preserve"> La «coscienza ingenua» che «rivela una certa semplicit</w:t>
      </w:r>
      <w:r>
        <w:rPr>
          <w:rFonts w:ascii="Garamond" w:hAnsi="Garamond"/>
          <w:sz w:val="22"/>
          <w:szCs w:val="22"/>
        </w:rPr>
        <w:t>à</w:t>
      </w:r>
      <w:r w:rsidRPr="00DE17CD">
        <w:rPr>
          <w:rFonts w:ascii="Garamond" w:hAnsi="Garamond"/>
          <w:sz w:val="22"/>
          <w:szCs w:val="22"/>
        </w:rPr>
        <w:t xml:space="preserve">, tende ad una faciloneria nell’interpretazione dei problemi, affronta le questioni con </w:t>
      </w:r>
      <w:proofErr w:type="spellStart"/>
      <w:r w:rsidRPr="00DE17CD">
        <w:rPr>
          <w:rFonts w:ascii="Garamond" w:hAnsi="Garamond"/>
          <w:sz w:val="22"/>
          <w:szCs w:val="22"/>
        </w:rPr>
        <w:t>ingenuita</w:t>
      </w:r>
      <w:proofErr w:type="spellEnd"/>
      <w:r w:rsidRPr="00DE17CD">
        <w:rPr>
          <w:rFonts w:ascii="Garamond" w:hAnsi="Garamond"/>
          <w:sz w:val="22"/>
          <w:szCs w:val="22"/>
        </w:rPr>
        <w:t xml:space="preserve">̀, non si approfondisce nella </w:t>
      </w:r>
      <w:proofErr w:type="spellStart"/>
      <w:r w:rsidRPr="00DE17CD">
        <w:rPr>
          <w:rFonts w:ascii="Garamond" w:hAnsi="Garamond"/>
          <w:sz w:val="22"/>
          <w:szCs w:val="22"/>
        </w:rPr>
        <w:t>causalita</w:t>
      </w:r>
      <w:proofErr w:type="spellEnd"/>
      <w:r w:rsidRPr="00DE17CD">
        <w:rPr>
          <w:rFonts w:ascii="Garamond" w:hAnsi="Garamond"/>
          <w:sz w:val="22"/>
          <w:szCs w:val="22"/>
        </w:rPr>
        <w:t xml:space="preserve">̀ del fatto stesso». </w:t>
      </w:r>
      <w:proofErr w:type="spellStart"/>
      <w:r>
        <w:rPr>
          <w:rFonts w:ascii="Garamond" w:hAnsi="Garamond"/>
          <w:sz w:val="22"/>
          <w:szCs w:val="22"/>
        </w:rPr>
        <w:t>Freire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Pr="00DE17CD">
        <w:rPr>
          <w:rFonts w:ascii="Garamond" w:hAnsi="Garamond"/>
          <w:sz w:val="22"/>
          <w:szCs w:val="22"/>
        </w:rPr>
        <w:t xml:space="preserve">metteva in allerta su come la coscienza ingenua potesse degenerare in una dimensione massificata o fanatica, che attualmente possiamo ritrovare nel mondo delle </w:t>
      </w:r>
      <w:proofErr w:type="spellStart"/>
      <w:r w:rsidRPr="00DE17CD">
        <w:rPr>
          <w:rFonts w:ascii="Garamond" w:hAnsi="Garamond"/>
          <w:sz w:val="22"/>
          <w:szCs w:val="22"/>
        </w:rPr>
        <w:t>fake</w:t>
      </w:r>
      <w:proofErr w:type="spellEnd"/>
      <w:r w:rsidRPr="00DE17CD">
        <w:rPr>
          <w:rFonts w:ascii="Garamond" w:hAnsi="Garamond"/>
          <w:sz w:val="22"/>
          <w:szCs w:val="22"/>
        </w:rPr>
        <w:t xml:space="preserve"> news, del settarismo, della potenza del falso mediante discorsi in cui la propria </w:t>
      </w:r>
      <w:proofErr w:type="spellStart"/>
      <w:r w:rsidRPr="00DE17CD">
        <w:rPr>
          <w:rFonts w:ascii="Garamond" w:hAnsi="Garamond"/>
          <w:sz w:val="22"/>
          <w:szCs w:val="22"/>
        </w:rPr>
        <w:t>fragilita</w:t>
      </w:r>
      <w:proofErr w:type="spellEnd"/>
      <w:r w:rsidRPr="00DE17CD">
        <w:rPr>
          <w:rFonts w:ascii="Garamond" w:hAnsi="Garamond"/>
          <w:sz w:val="22"/>
          <w:szCs w:val="22"/>
        </w:rPr>
        <w:t xml:space="preserve">̀ del rapporto causa-effetto, e la conseguente mancanza di senso, risulta essere persuasiva per chi non abbia </w:t>
      </w:r>
      <w:proofErr w:type="spellStart"/>
      <w:r w:rsidRPr="00DE17CD">
        <w:rPr>
          <w:rFonts w:ascii="Garamond" w:hAnsi="Garamond"/>
          <w:sz w:val="22"/>
          <w:szCs w:val="22"/>
        </w:rPr>
        <w:t>volonta</w:t>
      </w:r>
      <w:proofErr w:type="spellEnd"/>
      <w:r w:rsidRPr="00DE17CD">
        <w:rPr>
          <w:rFonts w:ascii="Garamond" w:hAnsi="Garamond"/>
          <w:sz w:val="22"/>
          <w:szCs w:val="22"/>
        </w:rPr>
        <w:t xml:space="preserve">̀ o intenzione di comprendere i fenomeni in modo approfondito. D’altra parte, il richiamo di Paulo </w:t>
      </w:r>
      <w:proofErr w:type="spellStart"/>
      <w:r w:rsidRPr="00DE17CD">
        <w:rPr>
          <w:rFonts w:ascii="Garamond" w:hAnsi="Garamond"/>
          <w:sz w:val="22"/>
          <w:szCs w:val="22"/>
        </w:rPr>
        <w:t>Freire</w:t>
      </w:r>
      <w:proofErr w:type="spellEnd"/>
      <w:r w:rsidRPr="00DE17CD">
        <w:rPr>
          <w:rFonts w:ascii="Garamond" w:hAnsi="Garamond"/>
          <w:sz w:val="22"/>
          <w:szCs w:val="22"/>
        </w:rPr>
        <w:t xml:space="preserve"> a una necessità esistenziale, addirittura all’imperativo della speranza, risuona molto</w:t>
      </w:r>
      <w:r>
        <w:rPr>
          <w:rFonts w:ascii="Garamond" w:hAnsi="Garamond"/>
          <w:sz w:val="22"/>
          <w:szCs w:val="22"/>
        </w:rPr>
        <w:t xml:space="preserve"> più</w:t>
      </w:r>
      <w:r w:rsidRPr="00DE17CD">
        <w:rPr>
          <w:rFonts w:ascii="Garamond" w:hAnsi="Garamond"/>
          <w:sz w:val="22"/>
          <w:szCs w:val="22"/>
        </w:rPr>
        <w:t xml:space="preserve"> forte di un accorato appello sentimentale e fa ancora paura: </w:t>
      </w:r>
      <w:r>
        <w:rPr>
          <w:rFonts w:ascii="Garamond" w:hAnsi="Garamond"/>
          <w:sz w:val="22"/>
          <w:szCs w:val="22"/>
        </w:rPr>
        <w:t>perché</w:t>
      </w:r>
      <w:r w:rsidRPr="00DE17CD">
        <w:rPr>
          <w:rFonts w:ascii="Garamond" w:hAnsi="Garamond"/>
          <w:sz w:val="22"/>
          <w:szCs w:val="22"/>
        </w:rPr>
        <w:t xml:space="preserve"> la speranza non è un’attitudine romantica, ma la radice concreta di un metodo fondato sulla denuncia di condizioni di oppressione e la conseguente organizzazione per superarle. </w:t>
      </w:r>
    </w:p>
  </w:footnote>
  <w:footnote w:id="2">
    <w:p w14:paraId="1E8FA8EE" w14:textId="77777777" w:rsidR="005A5225" w:rsidRPr="00DE17CD" w:rsidRDefault="005A5225" w:rsidP="005A5225">
      <w:pPr>
        <w:pStyle w:val="Testonotaapidipagina"/>
        <w:rPr>
          <w:rFonts w:ascii="Garamond" w:hAnsi="Garamond"/>
          <w:color w:val="000000" w:themeColor="text1"/>
          <w:sz w:val="22"/>
          <w:szCs w:val="22"/>
        </w:rPr>
      </w:pPr>
      <w:r w:rsidRPr="00DE17CD">
        <w:rPr>
          <w:rStyle w:val="Rimandonotaapidipagina"/>
          <w:rFonts w:ascii="Garamond" w:hAnsi="Garamond"/>
          <w:color w:val="000000" w:themeColor="text1"/>
          <w:sz w:val="22"/>
          <w:szCs w:val="22"/>
        </w:rPr>
        <w:footnoteRef/>
      </w:r>
      <w:r w:rsidRPr="00DE17CD">
        <w:rPr>
          <w:rFonts w:ascii="Garamond" w:hAnsi="Garamond"/>
          <w:color w:val="000000" w:themeColor="text1"/>
          <w:sz w:val="22"/>
          <w:szCs w:val="22"/>
        </w:rPr>
        <w:t xml:space="preserve"> Papa Francesco, 21 dicembre 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25"/>
    <w:rsid w:val="005A5225"/>
    <w:rsid w:val="00D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63A12"/>
  <w15:chartTrackingRefBased/>
  <w15:docId w15:val="{A953794B-A643-0C4E-8350-9B438485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522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22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A5225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5A52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2021-10-07T07:24:00Z</dcterms:created>
  <dcterms:modified xsi:type="dcterms:W3CDTF">2021-10-07T07:30:00Z</dcterms:modified>
</cp:coreProperties>
</file>